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237"/>
        <w:tblW w:w="0" w:type="auto"/>
        <w:tblLook w:val="04A0" w:firstRow="1" w:lastRow="0" w:firstColumn="1" w:lastColumn="0" w:noHBand="0" w:noVBand="1"/>
      </w:tblPr>
      <w:tblGrid>
        <w:gridCol w:w="2405"/>
        <w:gridCol w:w="2835"/>
        <w:gridCol w:w="3260"/>
        <w:gridCol w:w="2835"/>
        <w:gridCol w:w="2613"/>
      </w:tblGrid>
      <w:tr w:rsidR="003122A8" w14:paraId="0874A127" w14:textId="77777777" w:rsidTr="003122A8">
        <w:tc>
          <w:tcPr>
            <w:tcW w:w="2405" w:type="dxa"/>
          </w:tcPr>
          <w:p w14:paraId="5513E5EC" w14:textId="77777777" w:rsidR="003122A8" w:rsidRPr="00243C8A" w:rsidRDefault="003122A8" w:rsidP="003122A8">
            <w:pPr>
              <w:rPr>
                <w:b/>
                <w:bCs/>
                <w:u w:val="single"/>
              </w:rPr>
            </w:pPr>
            <w:r w:rsidRPr="00243C8A">
              <w:rPr>
                <w:b/>
                <w:bCs/>
                <w:u w:val="single"/>
              </w:rPr>
              <w:t>Problem(s)</w:t>
            </w:r>
          </w:p>
          <w:p w14:paraId="77688185" w14:textId="77777777" w:rsidR="003122A8" w:rsidRPr="003A4666" w:rsidRDefault="003122A8" w:rsidP="003122A8">
            <w:pPr>
              <w:rPr>
                <w:i/>
                <w:iCs/>
                <w:color w:val="A6A6A6" w:themeColor="background1" w:themeShade="A6"/>
                <w:sz w:val="16"/>
                <w:szCs w:val="16"/>
              </w:rPr>
            </w:pPr>
            <w:r w:rsidRPr="003A4666">
              <w:rPr>
                <w:i/>
                <w:iCs/>
                <w:color w:val="A6A6A6" w:themeColor="background1" w:themeShade="A6"/>
                <w:sz w:val="16"/>
                <w:szCs w:val="16"/>
              </w:rPr>
              <w:t>There is no automated solution in place to manage the SM&amp;CR compliance processes with current teams reliant on time consuming manual processes for creating and maintaining the required documentation. Currently, each submission, attestation and piece of documentary evidence requires manual intervention from the administration team; sometimes requiring multiply touch points – this results in significant risks to the integrity and accuracy of our reporting and data through possible human error and/or oversight.</w:t>
            </w:r>
          </w:p>
          <w:p w14:paraId="7F3DD601" w14:textId="77777777" w:rsidR="003122A8" w:rsidRDefault="003122A8" w:rsidP="003122A8"/>
        </w:tc>
        <w:tc>
          <w:tcPr>
            <w:tcW w:w="2835" w:type="dxa"/>
          </w:tcPr>
          <w:p w14:paraId="0247ECF6" w14:textId="77777777" w:rsidR="003122A8" w:rsidRDefault="003122A8" w:rsidP="003122A8">
            <w:pPr>
              <w:rPr>
                <w:b/>
                <w:bCs/>
                <w:u w:val="single"/>
              </w:rPr>
            </w:pPr>
            <w:r w:rsidRPr="00243C8A">
              <w:rPr>
                <w:b/>
                <w:bCs/>
                <w:u w:val="single"/>
              </w:rPr>
              <w:t>Proposal(s)</w:t>
            </w:r>
          </w:p>
          <w:p w14:paraId="1C5A51F1"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 xml:space="preserve">The regulator expects firms to implement suitable and robust SM&amp;CR systems and controls to manage the requirements of the regime. A suitable and robust </w:t>
            </w:r>
            <w:proofErr w:type="spellStart"/>
            <w:r w:rsidRPr="007503BB">
              <w:rPr>
                <w:i/>
                <w:iCs/>
                <w:color w:val="A6A6A6" w:themeColor="background1" w:themeShade="A6"/>
                <w:sz w:val="16"/>
                <w:szCs w:val="16"/>
              </w:rPr>
              <w:t>RegTech</w:t>
            </w:r>
            <w:proofErr w:type="spellEnd"/>
            <w:r w:rsidRPr="007503BB">
              <w:rPr>
                <w:i/>
                <w:iCs/>
                <w:color w:val="A6A6A6" w:themeColor="background1" w:themeShade="A6"/>
                <w:sz w:val="16"/>
                <w:szCs w:val="16"/>
              </w:rPr>
              <w:t xml:space="preserve"> solution for managing SM&amp;CR from expert third party vendors will provide off-the-shelf proven solutions which address our key concerns.</w:t>
            </w:r>
          </w:p>
          <w:p w14:paraId="50064359" w14:textId="77777777" w:rsidR="003122A8" w:rsidRPr="00243C8A" w:rsidRDefault="003122A8" w:rsidP="003122A8">
            <w:pPr>
              <w:rPr>
                <w:b/>
                <w:bCs/>
                <w:u w:val="single"/>
              </w:rPr>
            </w:pPr>
          </w:p>
        </w:tc>
        <w:tc>
          <w:tcPr>
            <w:tcW w:w="3260" w:type="dxa"/>
            <w:vMerge w:val="restart"/>
          </w:tcPr>
          <w:p w14:paraId="1B52920A" w14:textId="77777777" w:rsidR="003122A8" w:rsidRDefault="003122A8" w:rsidP="003122A8">
            <w:pPr>
              <w:rPr>
                <w:b/>
                <w:bCs/>
                <w:u w:val="single"/>
              </w:rPr>
            </w:pPr>
            <w:r w:rsidRPr="00243C8A">
              <w:rPr>
                <w:b/>
                <w:bCs/>
                <w:u w:val="single"/>
              </w:rPr>
              <w:t>Value Proposition</w:t>
            </w:r>
          </w:p>
          <w:p w14:paraId="49B941E7" w14:textId="77777777" w:rsidR="003122A8" w:rsidRPr="003A4666" w:rsidRDefault="003122A8" w:rsidP="003122A8">
            <w:pPr>
              <w:rPr>
                <w:i/>
                <w:iCs/>
                <w:color w:val="A6A6A6" w:themeColor="background1" w:themeShade="A6"/>
                <w:sz w:val="16"/>
                <w:szCs w:val="16"/>
              </w:rPr>
            </w:pPr>
            <w:r w:rsidRPr="003A4666">
              <w:rPr>
                <w:i/>
                <w:iCs/>
                <w:color w:val="A6A6A6" w:themeColor="background1" w:themeShade="A6"/>
                <w:sz w:val="16"/>
                <w:szCs w:val="16"/>
              </w:rPr>
              <w:t>The current process does not provide for an efficient and sustainable long-term solution, resulting in increasing levels of risk as time passes.</w:t>
            </w:r>
          </w:p>
          <w:p w14:paraId="63222491" w14:textId="77777777" w:rsidR="003122A8" w:rsidRPr="003A4666" w:rsidRDefault="003122A8" w:rsidP="003122A8">
            <w:pPr>
              <w:rPr>
                <w:i/>
                <w:iCs/>
                <w:color w:val="A6A6A6" w:themeColor="background1" w:themeShade="A6"/>
                <w:sz w:val="16"/>
                <w:szCs w:val="16"/>
              </w:rPr>
            </w:pPr>
          </w:p>
          <w:p w14:paraId="2FE1ACDD" w14:textId="77777777" w:rsidR="003122A8" w:rsidRPr="003A4666" w:rsidRDefault="003122A8" w:rsidP="003122A8">
            <w:pPr>
              <w:pStyle w:val="ListParagraph"/>
              <w:numPr>
                <w:ilvl w:val="0"/>
                <w:numId w:val="6"/>
              </w:numPr>
              <w:rPr>
                <w:i/>
                <w:iCs/>
                <w:color w:val="A6A6A6" w:themeColor="background1" w:themeShade="A6"/>
                <w:sz w:val="16"/>
                <w:szCs w:val="16"/>
              </w:rPr>
            </w:pPr>
            <w:r>
              <w:rPr>
                <w:i/>
                <w:iCs/>
                <w:color w:val="A6A6A6" w:themeColor="background1" w:themeShade="A6"/>
                <w:sz w:val="16"/>
                <w:szCs w:val="16"/>
              </w:rPr>
              <w:t>Insu</w:t>
            </w:r>
            <w:r w:rsidRPr="003A4666">
              <w:rPr>
                <w:i/>
                <w:iCs/>
                <w:color w:val="A6A6A6" w:themeColor="background1" w:themeShade="A6"/>
                <w:sz w:val="16"/>
                <w:szCs w:val="16"/>
              </w:rPr>
              <w:t xml:space="preserve">fficient resources to manage </w:t>
            </w:r>
            <w:r>
              <w:rPr>
                <w:i/>
                <w:iCs/>
                <w:color w:val="A6A6A6" w:themeColor="background1" w:themeShade="A6"/>
                <w:sz w:val="16"/>
                <w:szCs w:val="16"/>
              </w:rPr>
              <w:t xml:space="preserve">the </w:t>
            </w:r>
            <w:r w:rsidRPr="003A4666">
              <w:rPr>
                <w:i/>
                <w:iCs/>
                <w:color w:val="A6A6A6" w:themeColor="background1" w:themeShade="A6"/>
                <w:sz w:val="16"/>
                <w:szCs w:val="16"/>
              </w:rPr>
              <w:t>demand</w:t>
            </w:r>
            <w:r>
              <w:rPr>
                <w:i/>
                <w:iCs/>
                <w:color w:val="A6A6A6" w:themeColor="background1" w:themeShade="A6"/>
                <w:sz w:val="16"/>
                <w:szCs w:val="16"/>
              </w:rPr>
              <w:t>s of ongoing</w:t>
            </w:r>
            <w:r w:rsidRPr="003A4666">
              <w:rPr>
                <w:i/>
                <w:iCs/>
                <w:color w:val="A6A6A6" w:themeColor="background1" w:themeShade="A6"/>
                <w:sz w:val="16"/>
                <w:szCs w:val="16"/>
              </w:rPr>
              <w:t xml:space="preserve"> </w:t>
            </w:r>
            <w:r>
              <w:rPr>
                <w:i/>
                <w:iCs/>
                <w:color w:val="A6A6A6" w:themeColor="background1" w:themeShade="A6"/>
                <w:sz w:val="16"/>
                <w:szCs w:val="16"/>
              </w:rPr>
              <w:t xml:space="preserve">regulatory </w:t>
            </w:r>
            <w:r w:rsidRPr="003A4666">
              <w:rPr>
                <w:i/>
                <w:iCs/>
                <w:color w:val="A6A6A6" w:themeColor="background1" w:themeShade="A6"/>
                <w:sz w:val="16"/>
                <w:szCs w:val="16"/>
              </w:rPr>
              <w:t>change</w:t>
            </w:r>
          </w:p>
          <w:p w14:paraId="7FB15A1F" w14:textId="77777777" w:rsidR="003122A8" w:rsidRPr="003A4666" w:rsidRDefault="003122A8" w:rsidP="003122A8">
            <w:pPr>
              <w:pStyle w:val="ListParagraph"/>
              <w:numPr>
                <w:ilvl w:val="0"/>
                <w:numId w:val="6"/>
              </w:numPr>
              <w:rPr>
                <w:i/>
                <w:iCs/>
                <w:color w:val="A6A6A6" w:themeColor="background1" w:themeShade="A6"/>
                <w:sz w:val="16"/>
                <w:szCs w:val="16"/>
              </w:rPr>
            </w:pPr>
            <w:r w:rsidRPr="003A4666">
              <w:rPr>
                <w:i/>
                <w:iCs/>
                <w:color w:val="A6A6A6" w:themeColor="background1" w:themeShade="A6"/>
                <w:sz w:val="16"/>
                <w:szCs w:val="16"/>
              </w:rPr>
              <w:t>Manual data entry &amp; manipulation poses an inherent risk to the integrity of the management information submitted to Board and the FCA/PRA</w:t>
            </w:r>
          </w:p>
          <w:p w14:paraId="51DB4E2C" w14:textId="77777777" w:rsidR="003122A8" w:rsidRPr="003A4666" w:rsidRDefault="003122A8" w:rsidP="003122A8">
            <w:pPr>
              <w:pStyle w:val="ListParagraph"/>
              <w:numPr>
                <w:ilvl w:val="0"/>
                <w:numId w:val="6"/>
              </w:numPr>
              <w:rPr>
                <w:i/>
                <w:iCs/>
                <w:color w:val="A6A6A6" w:themeColor="background1" w:themeShade="A6"/>
                <w:sz w:val="16"/>
                <w:szCs w:val="16"/>
              </w:rPr>
            </w:pPr>
            <w:r w:rsidRPr="003A4666">
              <w:rPr>
                <w:i/>
                <w:iCs/>
                <w:color w:val="A6A6A6" w:themeColor="background1" w:themeShade="A6"/>
                <w:sz w:val="16"/>
                <w:szCs w:val="16"/>
              </w:rPr>
              <w:t>Risk of erroneous submissions leading to increased regulatory scrutiny</w:t>
            </w:r>
          </w:p>
          <w:p w14:paraId="6552D203" w14:textId="77777777" w:rsidR="003122A8" w:rsidRPr="003A4666" w:rsidRDefault="003122A8" w:rsidP="003122A8">
            <w:pPr>
              <w:pStyle w:val="ListParagraph"/>
              <w:numPr>
                <w:ilvl w:val="0"/>
                <w:numId w:val="6"/>
              </w:numPr>
              <w:rPr>
                <w:i/>
                <w:iCs/>
                <w:color w:val="A6A6A6" w:themeColor="background1" w:themeShade="A6"/>
                <w:sz w:val="16"/>
                <w:szCs w:val="16"/>
              </w:rPr>
            </w:pPr>
            <w:r w:rsidRPr="003A4666">
              <w:rPr>
                <w:i/>
                <w:iCs/>
                <w:color w:val="A6A6A6" w:themeColor="background1" w:themeShade="A6"/>
                <w:sz w:val="16"/>
                <w:szCs w:val="16"/>
              </w:rPr>
              <w:t>Current processes are inefficient and time consuming for all users.</w:t>
            </w:r>
          </w:p>
          <w:p w14:paraId="354FA9BD" w14:textId="77777777" w:rsidR="003122A8" w:rsidRPr="003A4666" w:rsidRDefault="003122A8" w:rsidP="003122A8">
            <w:pPr>
              <w:rPr>
                <w:i/>
                <w:iCs/>
                <w:color w:val="A6A6A6" w:themeColor="background1" w:themeShade="A6"/>
                <w:sz w:val="16"/>
                <w:szCs w:val="16"/>
              </w:rPr>
            </w:pPr>
          </w:p>
          <w:p w14:paraId="4C2F79AC" w14:textId="77777777" w:rsidR="003122A8" w:rsidRDefault="003122A8" w:rsidP="003122A8">
            <w:pPr>
              <w:pStyle w:val="ListParagraph"/>
              <w:rPr>
                <w:i/>
                <w:iCs/>
                <w:color w:val="A6A6A6" w:themeColor="background1" w:themeShade="A6"/>
                <w:sz w:val="16"/>
                <w:szCs w:val="16"/>
              </w:rPr>
            </w:pPr>
            <w:r>
              <w:rPr>
                <w:i/>
                <w:iCs/>
                <w:color w:val="A6A6A6" w:themeColor="background1" w:themeShade="A6"/>
                <w:sz w:val="16"/>
                <w:szCs w:val="16"/>
              </w:rPr>
              <w:t>___________________________</w:t>
            </w:r>
          </w:p>
          <w:p w14:paraId="545B964C" w14:textId="77777777" w:rsidR="003122A8" w:rsidRPr="003A4666" w:rsidRDefault="003122A8" w:rsidP="003122A8">
            <w:pPr>
              <w:pStyle w:val="ListParagraph"/>
              <w:rPr>
                <w:i/>
                <w:iCs/>
                <w:color w:val="A6A6A6" w:themeColor="background1" w:themeShade="A6"/>
                <w:sz w:val="16"/>
                <w:szCs w:val="16"/>
              </w:rPr>
            </w:pPr>
          </w:p>
          <w:p w14:paraId="58A1C124" w14:textId="77777777" w:rsidR="003122A8" w:rsidRPr="003A4666" w:rsidRDefault="003122A8" w:rsidP="003122A8">
            <w:pPr>
              <w:pStyle w:val="ListParagraph"/>
              <w:numPr>
                <w:ilvl w:val="0"/>
                <w:numId w:val="6"/>
              </w:numPr>
              <w:rPr>
                <w:i/>
                <w:iCs/>
                <w:color w:val="A6A6A6" w:themeColor="background1" w:themeShade="A6"/>
                <w:sz w:val="16"/>
                <w:szCs w:val="16"/>
              </w:rPr>
            </w:pPr>
            <w:r w:rsidRPr="003A4666">
              <w:rPr>
                <w:i/>
                <w:iCs/>
                <w:color w:val="A6A6A6" w:themeColor="background1" w:themeShade="A6"/>
                <w:sz w:val="16"/>
                <w:szCs w:val="16"/>
              </w:rPr>
              <w:t>Centralising the data repository to consolidate the significant number of activities and data items contained within multiple disparate systems.</w:t>
            </w:r>
          </w:p>
          <w:p w14:paraId="507B729F" w14:textId="77777777" w:rsidR="003122A8" w:rsidRPr="003A4666" w:rsidRDefault="003122A8" w:rsidP="003122A8">
            <w:pPr>
              <w:pStyle w:val="ListParagraph"/>
              <w:numPr>
                <w:ilvl w:val="0"/>
                <w:numId w:val="6"/>
              </w:numPr>
              <w:rPr>
                <w:i/>
                <w:iCs/>
                <w:color w:val="A6A6A6" w:themeColor="background1" w:themeShade="A6"/>
                <w:sz w:val="16"/>
                <w:szCs w:val="16"/>
              </w:rPr>
            </w:pPr>
            <w:r w:rsidRPr="003A4666">
              <w:rPr>
                <w:i/>
                <w:iCs/>
                <w:color w:val="A6A6A6" w:themeColor="background1" w:themeShade="A6"/>
                <w:sz w:val="16"/>
                <w:szCs w:val="16"/>
              </w:rPr>
              <w:t>End to end solution for managing several additional and evolving SM&amp;CR requirements, which currently require significant levels of manual intervention to ensure regulatory compliance, including:</w:t>
            </w:r>
          </w:p>
          <w:p w14:paraId="2AE910DC" w14:textId="77777777" w:rsidR="003122A8" w:rsidRPr="003A4666" w:rsidRDefault="003122A8" w:rsidP="003122A8">
            <w:pPr>
              <w:pStyle w:val="ListParagraph"/>
              <w:numPr>
                <w:ilvl w:val="0"/>
                <w:numId w:val="11"/>
              </w:numPr>
              <w:rPr>
                <w:i/>
                <w:iCs/>
                <w:color w:val="A6A6A6" w:themeColor="background1" w:themeShade="A6"/>
                <w:sz w:val="16"/>
                <w:szCs w:val="16"/>
              </w:rPr>
            </w:pPr>
            <w:r w:rsidRPr="003A4666">
              <w:rPr>
                <w:i/>
                <w:iCs/>
                <w:color w:val="A6A6A6" w:themeColor="background1" w:themeShade="A6"/>
                <w:sz w:val="16"/>
                <w:szCs w:val="16"/>
              </w:rPr>
              <w:t>Managing Handover arrangements</w:t>
            </w:r>
          </w:p>
          <w:p w14:paraId="4A388C42" w14:textId="77777777" w:rsidR="003122A8" w:rsidRPr="003A4666" w:rsidRDefault="003122A8" w:rsidP="003122A8">
            <w:pPr>
              <w:pStyle w:val="ListParagraph"/>
              <w:numPr>
                <w:ilvl w:val="0"/>
                <w:numId w:val="11"/>
              </w:numPr>
              <w:rPr>
                <w:i/>
                <w:iCs/>
                <w:color w:val="A6A6A6" w:themeColor="background1" w:themeShade="A6"/>
                <w:sz w:val="16"/>
                <w:szCs w:val="16"/>
              </w:rPr>
            </w:pPr>
            <w:r w:rsidRPr="003A4666">
              <w:rPr>
                <w:i/>
                <w:iCs/>
                <w:color w:val="A6A6A6" w:themeColor="background1" w:themeShade="A6"/>
                <w:sz w:val="16"/>
                <w:szCs w:val="16"/>
              </w:rPr>
              <w:t>Processes to support SMFs to demonstrate reasonable steps</w:t>
            </w:r>
          </w:p>
          <w:p w14:paraId="76698CA0" w14:textId="77777777" w:rsidR="003122A8" w:rsidRPr="003A4666" w:rsidRDefault="003122A8" w:rsidP="003122A8">
            <w:pPr>
              <w:pStyle w:val="ListParagraph"/>
              <w:numPr>
                <w:ilvl w:val="0"/>
                <w:numId w:val="11"/>
              </w:numPr>
              <w:rPr>
                <w:i/>
                <w:iCs/>
                <w:color w:val="A6A6A6" w:themeColor="background1" w:themeShade="A6"/>
                <w:sz w:val="16"/>
                <w:szCs w:val="16"/>
              </w:rPr>
            </w:pPr>
            <w:r w:rsidRPr="003A4666">
              <w:rPr>
                <w:i/>
                <w:iCs/>
                <w:color w:val="A6A6A6" w:themeColor="background1" w:themeShade="A6"/>
                <w:sz w:val="16"/>
                <w:szCs w:val="16"/>
              </w:rPr>
              <w:t>Onboarding and annual assessments for SMFs and Certified Persons</w:t>
            </w:r>
          </w:p>
          <w:p w14:paraId="4A44CF5C" w14:textId="77777777" w:rsidR="003122A8" w:rsidRPr="003A4666" w:rsidRDefault="003122A8" w:rsidP="003122A8">
            <w:pPr>
              <w:pStyle w:val="ListParagraph"/>
              <w:numPr>
                <w:ilvl w:val="0"/>
                <w:numId w:val="11"/>
              </w:numPr>
              <w:rPr>
                <w:i/>
                <w:iCs/>
                <w:color w:val="A6A6A6" w:themeColor="background1" w:themeShade="A6"/>
                <w:sz w:val="16"/>
                <w:szCs w:val="16"/>
              </w:rPr>
            </w:pPr>
            <w:r w:rsidRPr="003A4666">
              <w:rPr>
                <w:i/>
                <w:iCs/>
                <w:color w:val="A6A6A6" w:themeColor="background1" w:themeShade="A6"/>
                <w:sz w:val="16"/>
                <w:szCs w:val="16"/>
              </w:rPr>
              <w:t>Regular maintenance and ongoing information reporting</w:t>
            </w:r>
          </w:p>
          <w:p w14:paraId="4CD3D25D" w14:textId="77777777" w:rsidR="003122A8" w:rsidRPr="00243C8A" w:rsidRDefault="003122A8" w:rsidP="003122A8">
            <w:pPr>
              <w:rPr>
                <w:b/>
                <w:bCs/>
                <w:u w:val="single"/>
              </w:rPr>
            </w:pPr>
          </w:p>
        </w:tc>
        <w:tc>
          <w:tcPr>
            <w:tcW w:w="2835" w:type="dxa"/>
          </w:tcPr>
          <w:p w14:paraId="753A20BC" w14:textId="77777777" w:rsidR="003122A8" w:rsidRDefault="003122A8" w:rsidP="003122A8">
            <w:pPr>
              <w:rPr>
                <w:b/>
                <w:bCs/>
                <w:u w:val="single"/>
              </w:rPr>
            </w:pPr>
            <w:r w:rsidRPr="00243C8A">
              <w:rPr>
                <w:b/>
                <w:bCs/>
                <w:u w:val="single"/>
              </w:rPr>
              <w:t>Business Impact</w:t>
            </w:r>
          </w:p>
          <w:p w14:paraId="5206BC2A" w14:textId="77777777" w:rsidR="003122A8" w:rsidRPr="007503BB" w:rsidRDefault="003122A8" w:rsidP="003122A8">
            <w:pPr>
              <w:pStyle w:val="ListParagraph"/>
              <w:numPr>
                <w:ilvl w:val="0"/>
                <w:numId w:val="9"/>
              </w:numPr>
              <w:rPr>
                <w:i/>
                <w:iCs/>
                <w:color w:val="A6A6A6" w:themeColor="background1" w:themeShade="A6"/>
                <w:sz w:val="16"/>
                <w:szCs w:val="16"/>
              </w:rPr>
            </w:pPr>
            <w:r w:rsidRPr="007503BB">
              <w:rPr>
                <w:i/>
                <w:iCs/>
                <w:color w:val="A6A6A6" w:themeColor="background1" w:themeShade="A6"/>
                <w:sz w:val="16"/>
                <w:szCs w:val="16"/>
              </w:rPr>
              <w:t>Legal &amp; Compliance</w:t>
            </w:r>
          </w:p>
          <w:p w14:paraId="676D7870" w14:textId="77777777" w:rsidR="003122A8" w:rsidRPr="007503BB" w:rsidRDefault="003122A8" w:rsidP="003122A8">
            <w:pPr>
              <w:pStyle w:val="ListParagraph"/>
              <w:numPr>
                <w:ilvl w:val="0"/>
                <w:numId w:val="9"/>
              </w:numPr>
              <w:rPr>
                <w:i/>
                <w:iCs/>
                <w:color w:val="A6A6A6" w:themeColor="background1" w:themeShade="A6"/>
                <w:sz w:val="16"/>
                <w:szCs w:val="16"/>
              </w:rPr>
            </w:pPr>
            <w:r w:rsidRPr="007503BB">
              <w:rPr>
                <w:i/>
                <w:iCs/>
                <w:color w:val="A6A6A6" w:themeColor="background1" w:themeShade="A6"/>
                <w:sz w:val="16"/>
                <w:szCs w:val="16"/>
              </w:rPr>
              <w:t>Culture &amp; Conduct</w:t>
            </w:r>
          </w:p>
          <w:p w14:paraId="6DB25114" w14:textId="77777777" w:rsidR="003122A8" w:rsidRPr="007503BB" w:rsidRDefault="003122A8" w:rsidP="003122A8">
            <w:pPr>
              <w:pStyle w:val="ListParagraph"/>
              <w:numPr>
                <w:ilvl w:val="0"/>
                <w:numId w:val="9"/>
              </w:numPr>
              <w:rPr>
                <w:i/>
                <w:iCs/>
                <w:color w:val="A6A6A6" w:themeColor="background1" w:themeShade="A6"/>
                <w:sz w:val="16"/>
                <w:szCs w:val="16"/>
              </w:rPr>
            </w:pPr>
            <w:r w:rsidRPr="007503BB">
              <w:rPr>
                <w:i/>
                <w:iCs/>
                <w:color w:val="A6A6A6" w:themeColor="background1" w:themeShade="A6"/>
                <w:sz w:val="16"/>
                <w:szCs w:val="16"/>
              </w:rPr>
              <w:t>Diversity &amp; inclusion</w:t>
            </w:r>
          </w:p>
          <w:p w14:paraId="6CDD57C9" w14:textId="77777777" w:rsidR="003122A8" w:rsidRPr="007503BB" w:rsidRDefault="003122A8" w:rsidP="003122A8">
            <w:pPr>
              <w:pStyle w:val="ListParagraph"/>
              <w:numPr>
                <w:ilvl w:val="0"/>
                <w:numId w:val="9"/>
              </w:numPr>
              <w:rPr>
                <w:i/>
                <w:iCs/>
                <w:color w:val="A6A6A6" w:themeColor="background1" w:themeShade="A6"/>
                <w:sz w:val="16"/>
                <w:szCs w:val="16"/>
              </w:rPr>
            </w:pPr>
            <w:r w:rsidRPr="007503BB">
              <w:rPr>
                <w:i/>
                <w:iCs/>
                <w:color w:val="A6A6A6" w:themeColor="background1" w:themeShade="A6"/>
                <w:sz w:val="16"/>
                <w:szCs w:val="16"/>
              </w:rPr>
              <w:t>HR (system and resouce0</w:t>
            </w:r>
          </w:p>
          <w:p w14:paraId="027DAD0A" w14:textId="77777777" w:rsidR="003122A8" w:rsidRPr="007503BB" w:rsidRDefault="003122A8" w:rsidP="003122A8">
            <w:pPr>
              <w:pStyle w:val="ListParagraph"/>
              <w:numPr>
                <w:ilvl w:val="0"/>
                <w:numId w:val="9"/>
              </w:numPr>
              <w:rPr>
                <w:i/>
                <w:iCs/>
                <w:color w:val="A6A6A6" w:themeColor="background1" w:themeShade="A6"/>
                <w:sz w:val="16"/>
                <w:szCs w:val="16"/>
              </w:rPr>
            </w:pPr>
            <w:r w:rsidRPr="007503BB">
              <w:rPr>
                <w:i/>
                <w:iCs/>
                <w:color w:val="A6A6A6" w:themeColor="background1" w:themeShade="A6"/>
                <w:sz w:val="16"/>
                <w:szCs w:val="16"/>
              </w:rPr>
              <w:t>Group Risk</w:t>
            </w:r>
          </w:p>
          <w:p w14:paraId="2A640537" w14:textId="77777777" w:rsidR="003122A8" w:rsidRPr="007503BB" w:rsidRDefault="003122A8" w:rsidP="003122A8">
            <w:pPr>
              <w:rPr>
                <w:i/>
                <w:iCs/>
                <w:color w:val="A6A6A6" w:themeColor="background1" w:themeShade="A6"/>
                <w:sz w:val="16"/>
                <w:szCs w:val="16"/>
              </w:rPr>
            </w:pPr>
          </w:p>
          <w:p w14:paraId="5A28EBBE" w14:textId="77777777" w:rsidR="003122A8" w:rsidRPr="00243C8A" w:rsidRDefault="003122A8" w:rsidP="003122A8">
            <w:pPr>
              <w:rPr>
                <w:b/>
                <w:bCs/>
                <w:u w:val="single"/>
              </w:rPr>
            </w:pPr>
          </w:p>
        </w:tc>
        <w:tc>
          <w:tcPr>
            <w:tcW w:w="2613" w:type="dxa"/>
          </w:tcPr>
          <w:p w14:paraId="6EE8C3EB" w14:textId="77777777" w:rsidR="003122A8" w:rsidRDefault="003122A8" w:rsidP="003122A8">
            <w:pPr>
              <w:rPr>
                <w:b/>
                <w:bCs/>
                <w:u w:val="single"/>
              </w:rPr>
            </w:pPr>
            <w:r w:rsidRPr="00243C8A">
              <w:rPr>
                <w:b/>
                <w:bCs/>
                <w:u w:val="single"/>
              </w:rPr>
              <w:t>Users and Customers</w:t>
            </w:r>
          </w:p>
          <w:p w14:paraId="72B0FDC9" w14:textId="77777777" w:rsidR="003122A8" w:rsidRPr="007503BB" w:rsidRDefault="003122A8" w:rsidP="003122A8">
            <w:pPr>
              <w:pStyle w:val="ListParagraph"/>
              <w:numPr>
                <w:ilvl w:val="0"/>
                <w:numId w:val="10"/>
              </w:numPr>
              <w:rPr>
                <w:i/>
                <w:iCs/>
                <w:color w:val="A6A6A6" w:themeColor="background1" w:themeShade="A6"/>
                <w:sz w:val="16"/>
                <w:szCs w:val="16"/>
              </w:rPr>
            </w:pPr>
            <w:r w:rsidRPr="007503BB">
              <w:rPr>
                <w:i/>
                <w:iCs/>
                <w:color w:val="A6A6A6" w:themeColor="background1" w:themeShade="A6"/>
                <w:sz w:val="16"/>
                <w:szCs w:val="16"/>
              </w:rPr>
              <w:t>Business services team</w:t>
            </w:r>
          </w:p>
          <w:p w14:paraId="0B050C1F" w14:textId="77777777" w:rsidR="003122A8" w:rsidRPr="007503BB" w:rsidRDefault="003122A8" w:rsidP="003122A8">
            <w:pPr>
              <w:pStyle w:val="ListParagraph"/>
              <w:numPr>
                <w:ilvl w:val="0"/>
                <w:numId w:val="10"/>
              </w:numPr>
              <w:rPr>
                <w:i/>
                <w:iCs/>
                <w:color w:val="A6A6A6" w:themeColor="background1" w:themeShade="A6"/>
                <w:sz w:val="16"/>
                <w:szCs w:val="16"/>
              </w:rPr>
            </w:pPr>
            <w:r w:rsidRPr="007503BB">
              <w:rPr>
                <w:i/>
                <w:iCs/>
                <w:color w:val="A6A6A6" w:themeColor="background1" w:themeShade="A6"/>
                <w:sz w:val="16"/>
                <w:szCs w:val="16"/>
              </w:rPr>
              <w:t>Senior Manager Function Holders</w:t>
            </w:r>
          </w:p>
          <w:p w14:paraId="5BAEBDBA" w14:textId="77777777" w:rsidR="003122A8" w:rsidRPr="007503BB" w:rsidRDefault="003122A8" w:rsidP="003122A8">
            <w:pPr>
              <w:pStyle w:val="ListParagraph"/>
              <w:numPr>
                <w:ilvl w:val="0"/>
                <w:numId w:val="10"/>
              </w:numPr>
              <w:rPr>
                <w:i/>
                <w:iCs/>
                <w:color w:val="A6A6A6" w:themeColor="background1" w:themeShade="A6"/>
                <w:sz w:val="16"/>
                <w:szCs w:val="16"/>
              </w:rPr>
            </w:pPr>
            <w:r w:rsidRPr="007503BB">
              <w:rPr>
                <w:i/>
                <w:iCs/>
                <w:color w:val="A6A6A6" w:themeColor="background1" w:themeShade="A6"/>
                <w:sz w:val="16"/>
                <w:szCs w:val="16"/>
              </w:rPr>
              <w:t>Certified Persons</w:t>
            </w:r>
          </w:p>
          <w:p w14:paraId="59B178D0" w14:textId="77777777" w:rsidR="003122A8" w:rsidRPr="00243C8A" w:rsidRDefault="003122A8" w:rsidP="003122A8">
            <w:pPr>
              <w:rPr>
                <w:b/>
                <w:bCs/>
                <w:u w:val="single"/>
              </w:rPr>
            </w:pPr>
          </w:p>
        </w:tc>
      </w:tr>
      <w:tr w:rsidR="003122A8" w14:paraId="1061B885" w14:textId="77777777" w:rsidTr="003122A8">
        <w:tc>
          <w:tcPr>
            <w:tcW w:w="2405" w:type="dxa"/>
          </w:tcPr>
          <w:p w14:paraId="7D57039F" w14:textId="77777777" w:rsidR="003122A8" w:rsidRDefault="003122A8" w:rsidP="003122A8">
            <w:pPr>
              <w:rPr>
                <w:b/>
                <w:bCs/>
                <w:u w:val="single"/>
              </w:rPr>
            </w:pPr>
            <w:r w:rsidRPr="00243C8A">
              <w:rPr>
                <w:b/>
                <w:bCs/>
                <w:u w:val="single"/>
              </w:rPr>
              <w:t>Existing alternatives</w:t>
            </w:r>
          </w:p>
          <w:p w14:paraId="0E32DC48"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Continue with current manual processes</w:t>
            </w:r>
          </w:p>
          <w:p w14:paraId="503970D3"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This is not an option:</w:t>
            </w:r>
          </w:p>
          <w:p w14:paraId="46AA311C" w14:textId="77777777" w:rsidR="003122A8" w:rsidRPr="007503BB" w:rsidRDefault="003122A8" w:rsidP="003122A8">
            <w:pPr>
              <w:pStyle w:val="ListParagraph"/>
              <w:numPr>
                <w:ilvl w:val="0"/>
                <w:numId w:val="12"/>
              </w:numPr>
              <w:rPr>
                <w:i/>
                <w:iCs/>
                <w:color w:val="A6A6A6" w:themeColor="background1" w:themeShade="A6"/>
                <w:sz w:val="16"/>
                <w:szCs w:val="16"/>
              </w:rPr>
            </w:pPr>
            <w:r w:rsidRPr="007503BB">
              <w:rPr>
                <w:i/>
                <w:iCs/>
                <w:color w:val="A6A6A6" w:themeColor="background1" w:themeShade="A6"/>
                <w:sz w:val="16"/>
                <w:szCs w:val="16"/>
              </w:rPr>
              <w:t>Internal audit report requires action</w:t>
            </w:r>
          </w:p>
          <w:p w14:paraId="0A2ACC94" w14:textId="77777777" w:rsidR="003122A8" w:rsidRPr="007503BB" w:rsidRDefault="003122A8" w:rsidP="003122A8">
            <w:pPr>
              <w:pStyle w:val="ListParagraph"/>
              <w:numPr>
                <w:ilvl w:val="0"/>
                <w:numId w:val="12"/>
              </w:numPr>
              <w:rPr>
                <w:i/>
                <w:iCs/>
                <w:color w:val="A6A6A6" w:themeColor="background1" w:themeShade="A6"/>
                <w:sz w:val="16"/>
                <w:szCs w:val="16"/>
              </w:rPr>
            </w:pPr>
            <w:r w:rsidRPr="007503BB">
              <w:rPr>
                <w:i/>
                <w:iCs/>
                <w:color w:val="A6A6A6" w:themeColor="background1" w:themeShade="A6"/>
                <w:sz w:val="16"/>
                <w:szCs w:val="16"/>
              </w:rPr>
              <w:t>Regulator expectation and demands</w:t>
            </w:r>
          </w:p>
          <w:p w14:paraId="26F6EF3B" w14:textId="77777777" w:rsidR="003122A8" w:rsidRDefault="003122A8" w:rsidP="003122A8"/>
        </w:tc>
        <w:tc>
          <w:tcPr>
            <w:tcW w:w="2835" w:type="dxa"/>
          </w:tcPr>
          <w:p w14:paraId="6A447D61" w14:textId="77777777" w:rsidR="003122A8" w:rsidRDefault="003122A8" w:rsidP="003122A8">
            <w:pPr>
              <w:rPr>
                <w:b/>
                <w:bCs/>
                <w:u w:val="single"/>
              </w:rPr>
            </w:pPr>
            <w:r w:rsidRPr="00243C8A">
              <w:rPr>
                <w:b/>
                <w:bCs/>
                <w:u w:val="single"/>
              </w:rPr>
              <w:t>Constraints</w:t>
            </w:r>
          </w:p>
          <w:p w14:paraId="608ACEFF"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Solution needs to be in place by end of this quarter to align with our annual assessments cycle and to meet the firm’s commitment to Internal Audit</w:t>
            </w:r>
          </w:p>
          <w:p w14:paraId="483407E5" w14:textId="77777777" w:rsidR="003122A8" w:rsidRPr="00243C8A" w:rsidRDefault="003122A8" w:rsidP="003122A8">
            <w:pPr>
              <w:rPr>
                <w:b/>
                <w:bCs/>
                <w:u w:val="single"/>
              </w:rPr>
            </w:pPr>
          </w:p>
        </w:tc>
        <w:tc>
          <w:tcPr>
            <w:tcW w:w="3260" w:type="dxa"/>
            <w:vMerge/>
          </w:tcPr>
          <w:p w14:paraId="0F1FAE51" w14:textId="77777777" w:rsidR="003122A8" w:rsidRDefault="003122A8" w:rsidP="003122A8"/>
        </w:tc>
        <w:tc>
          <w:tcPr>
            <w:tcW w:w="2835" w:type="dxa"/>
          </w:tcPr>
          <w:p w14:paraId="4D6F0FE6" w14:textId="77777777" w:rsidR="003122A8" w:rsidRDefault="003122A8" w:rsidP="003122A8">
            <w:pPr>
              <w:rPr>
                <w:b/>
                <w:bCs/>
                <w:u w:val="single"/>
              </w:rPr>
            </w:pPr>
            <w:r w:rsidRPr="00243C8A">
              <w:rPr>
                <w:b/>
                <w:bCs/>
                <w:u w:val="single"/>
              </w:rPr>
              <w:t>Stakeholder groups</w:t>
            </w:r>
          </w:p>
          <w:p w14:paraId="38C1C66B"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Ethics and compliance</w:t>
            </w:r>
          </w:p>
          <w:p w14:paraId="7CE5C4DE"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Business services</w:t>
            </w:r>
          </w:p>
          <w:p w14:paraId="15BE7C3A"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HR</w:t>
            </w:r>
          </w:p>
          <w:p w14:paraId="47B06F0C"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Procurement</w:t>
            </w:r>
          </w:p>
          <w:p w14:paraId="56A0FF1E"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Operations</w:t>
            </w:r>
          </w:p>
          <w:p w14:paraId="796800FB"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Group Risk</w:t>
            </w:r>
          </w:p>
          <w:p w14:paraId="25FA8A48" w14:textId="77777777" w:rsidR="003122A8" w:rsidRPr="007503BB" w:rsidRDefault="003122A8" w:rsidP="003122A8">
            <w:pPr>
              <w:pStyle w:val="ListParagraph"/>
              <w:numPr>
                <w:ilvl w:val="0"/>
                <w:numId w:val="8"/>
              </w:numPr>
              <w:rPr>
                <w:i/>
                <w:iCs/>
                <w:color w:val="A6A6A6" w:themeColor="background1" w:themeShade="A6"/>
                <w:sz w:val="16"/>
                <w:szCs w:val="16"/>
              </w:rPr>
            </w:pPr>
            <w:r w:rsidRPr="007503BB">
              <w:rPr>
                <w:i/>
                <w:iCs/>
                <w:color w:val="A6A6A6" w:themeColor="background1" w:themeShade="A6"/>
                <w:sz w:val="16"/>
                <w:szCs w:val="16"/>
              </w:rPr>
              <w:t>Training &amp; Development</w:t>
            </w:r>
          </w:p>
          <w:p w14:paraId="1797B19E" w14:textId="77777777" w:rsidR="003122A8" w:rsidRPr="00243C8A" w:rsidRDefault="003122A8" w:rsidP="003122A8">
            <w:pPr>
              <w:rPr>
                <w:b/>
                <w:bCs/>
                <w:u w:val="single"/>
              </w:rPr>
            </w:pPr>
          </w:p>
        </w:tc>
        <w:tc>
          <w:tcPr>
            <w:tcW w:w="2613" w:type="dxa"/>
          </w:tcPr>
          <w:p w14:paraId="3185BC7D" w14:textId="77777777" w:rsidR="003122A8" w:rsidRDefault="003122A8" w:rsidP="003122A8">
            <w:pPr>
              <w:rPr>
                <w:b/>
                <w:bCs/>
                <w:u w:val="single"/>
              </w:rPr>
            </w:pPr>
            <w:r w:rsidRPr="00243C8A">
              <w:rPr>
                <w:b/>
                <w:bCs/>
                <w:u w:val="single"/>
              </w:rPr>
              <w:t>Costs &amp; Resource Requirements</w:t>
            </w:r>
          </w:p>
          <w:p w14:paraId="729CC2D3"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Proven SaaS solution delivers the benefit of cost-effective licence fees and minimal implementation costs</w:t>
            </w:r>
          </w:p>
          <w:p w14:paraId="02EB1A6F" w14:textId="77777777" w:rsidR="003122A8" w:rsidRPr="00243C8A" w:rsidRDefault="003122A8" w:rsidP="003122A8">
            <w:pPr>
              <w:rPr>
                <w:b/>
                <w:bCs/>
                <w:u w:val="single"/>
              </w:rPr>
            </w:pPr>
          </w:p>
        </w:tc>
      </w:tr>
      <w:tr w:rsidR="003122A8" w14:paraId="6C3C1CA2" w14:textId="77777777" w:rsidTr="003122A8">
        <w:tc>
          <w:tcPr>
            <w:tcW w:w="5240" w:type="dxa"/>
            <w:gridSpan w:val="2"/>
          </w:tcPr>
          <w:p w14:paraId="0FF06F88" w14:textId="77777777" w:rsidR="003122A8" w:rsidRPr="00243C8A" w:rsidRDefault="003122A8" w:rsidP="003122A8">
            <w:pPr>
              <w:rPr>
                <w:b/>
                <w:bCs/>
                <w:u w:val="single"/>
              </w:rPr>
            </w:pPr>
            <w:r w:rsidRPr="00243C8A">
              <w:rPr>
                <w:b/>
                <w:bCs/>
                <w:u w:val="single"/>
              </w:rPr>
              <w:t>Business Benefit</w:t>
            </w:r>
          </w:p>
          <w:p w14:paraId="15F37B24"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 xml:space="preserve">A </w:t>
            </w:r>
            <w:proofErr w:type="spellStart"/>
            <w:r w:rsidRPr="007503BB">
              <w:rPr>
                <w:i/>
                <w:iCs/>
                <w:color w:val="A6A6A6" w:themeColor="background1" w:themeShade="A6"/>
                <w:sz w:val="16"/>
                <w:szCs w:val="16"/>
              </w:rPr>
              <w:t>RegTech</w:t>
            </w:r>
            <w:proofErr w:type="spellEnd"/>
            <w:r w:rsidRPr="007503BB">
              <w:rPr>
                <w:i/>
                <w:iCs/>
                <w:color w:val="A6A6A6" w:themeColor="background1" w:themeShade="A6"/>
                <w:sz w:val="16"/>
                <w:szCs w:val="16"/>
              </w:rPr>
              <w:t xml:space="preserve"> software solution will collect and consolidate all SM&amp;CR related data from across the business into a single platform so all stakeholders can easily view and attest to this information in a cohesive and consistent way – and in real- time. The system supports the ability to confidently devolve ownership of the regime without losing oversight or control – encouraging positive engagement with the business</w:t>
            </w:r>
          </w:p>
          <w:p w14:paraId="38C7D98A" w14:textId="77777777" w:rsidR="003122A8" w:rsidRPr="007503BB" w:rsidRDefault="003122A8" w:rsidP="003122A8">
            <w:pPr>
              <w:rPr>
                <w:i/>
                <w:iCs/>
                <w:color w:val="A6A6A6" w:themeColor="background1" w:themeShade="A6"/>
                <w:sz w:val="16"/>
                <w:szCs w:val="16"/>
              </w:rPr>
            </w:pPr>
          </w:p>
          <w:p w14:paraId="65F14538"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Manual processes significantly reduced</w:t>
            </w:r>
          </w:p>
          <w:p w14:paraId="73F9571F"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Risks of incorrect data due to human error reduced</w:t>
            </w:r>
          </w:p>
          <w:p w14:paraId="3F90420A"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All data held within one system</w:t>
            </w:r>
          </w:p>
          <w:p w14:paraId="1C424430" w14:textId="77777777" w:rsidR="003122A8" w:rsidRDefault="003122A8" w:rsidP="003122A8">
            <w:r w:rsidRPr="007503BB">
              <w:rPr>
                <w:i/>
                <w:iCs/>
                <w:color w:val="A6A6A6" w:themeColor="background1" w:themeShade="A6"/>
                <w:sz w:val="16"/>
                <w:szCs w:val="16"/>
              </w:rPr>
              <w:t>Senior Managers and Certified Persons can meet their regulatory obligations.</w:t>
            </w:r>
          </w:p>
        </w:tc>
        <w:tc>
          <w:tcPr>
            <w:tcW w:w="3260" w:type="dxa"/>
            <w:vMerge/>
          </w:tcPr>
          <w:p w14:paraId="353EB503" w14:textId="77777777" w:rsidR="003122A8" w:rsidRDefault="003122A8" w:rsidP="003122A8"/>
        </w:tc>
        <w:tc>
          <w:tcPr>
            <w:tcW w:w="5448" w:type="dxa"/>
            <w:gridSpan w:val="2"/>
          </w:tcPr>
          <w:p w14:paraId="41B30A2F" w14:textId="77777777" w:rsidR="003122A8" w:rsidRDefault="003122A8" w:rsidP="003122A8">
            <w:pPr>
              <w:rPr>
                <w:b/>
                <w:bCs/>
                <w:u w:val="single"/>
              </w:rPr>
            </w:pPr>
            <w:r w:rsidRPr="00243C8A">
              <w:rPr>
                <w:b/>
                <w:bCs/>
                <w:u w:val="single"/>
              </w:rPr>
              <w:t xml:space="preserve">Key metrics </w:t>
            </w:r>
            <w:r>
              <w:rPr>
                <w:b/>
                <w:bCs/>
                <w:u w:val="single"/>
              </w:rPr>
              <w:t>/ outcomes</w:t>
            </w:r>
          </w:p>
          <w:p w14:paraId="0C9A7B9A" w14:textId="77777777" w:rsidR="003122A8" w:rsidRPr="007503BB" w:rsidRDefault="003122A8" w:rsidP="003122A8">
            <w:pPr>
              <w:rPr>
                <w:i/>
                <w:iCs/>
                <w:color w:val="A6A6A6" w:themeColor="background1" w:themeShade="A6"/>
                <w:sz w:val="16"/>
                <w:szCs w:val="16"/>
              </w:rPr>
            </w:pPr>
            <w:r w:rsidRPr="007503BB">
              <w:rPr>
                <w:i/>
                <w:iCs/>
                <w:color w:val="A6A6A6" w:themeColor="background1" w:themeShade="A6"/>
                <w:sz w:val="16"/>
                <w:szCs w:val="16"/>
              </w:rPr>
              <w:t>Positive engagement with SMFs and Certified Persons – less challenge with the manual processing of attestations, submissions, and evidence.</w:t>
            </w:r>
          </w:p>
          <w:p w14:paraId="1D848436" w14:textId="77777777" w:rsidR="003122A8" w:rsidRPr="007503BB" w:rsidRDefault="003122A8" w:rsidP="003122A8">
            <w:pPr>
              <w:pStyle w:val="ListParagraph"/>
              <w:numPr>
                <w:ilvl w:val="0"/>
                <w:numId w:val="7"/>
              </w:numPr>
              <w:rPr>
                <w:i/>
                <w:iCs/>
                <w:color w:val="A6A6A6" w:themeColor="background1" w:themeShade="A6"/>
                <w:sz w:val="16"/>
                <w:szCs w:val="16"/>
              </w:rPr>
            </w:pPr>
            <w:r w:rsidRPr="007503BB">
              <w:rPr>
                <w:i/>
                <w:iCs/>
                <w:color w:val="A6A6A6" w:themeColor="background1" w:themeShade="A6"/>
                <w:sz w:val="16"/>
                <w:szCs w:val="16"/>
              </w:rPr>
              <w:t>Real-time MI (New Metric)</w:t>
            </w:r>
          </w:p>
          <w:p w14:paraId="7FD0C71B" w14:textId="77777777" w:rsidR="003122A8" w:rsidRPr="007503BB" w:rsidRDefault="003122A8" w:rsidP="003122A8">
            <w:pPr>
              <w:pStyle w:val="ListParagraph"/>
              <w:numPr>
                <w:ilvl w:val="0"/>
                <w:numId w:val="7"/>
              </w:numPr>
              <w:rPr>
                <w:i/>
                <w:iCs/>
                <w:color w:val="A6A6A6" w:themeColor="background1" w:themeShade="A6"/>
                <w:sz w:val="16"/>
                <w:szCs w:val="16"/>
              </w:rPr>
            </w:pPr>
            <w:r w:rsidRPr="007503BB">
              <w:rPr>
                <w:i/>
                <w:iCs/>
                <w:color w:val="A6A6A6" w:themeColor="background1" w:themeShade="A6"/>
                <w:sz w:val="16"/>
                <w:szCs w:val="16"/>
              </w:rPr>
              <w:t>Senior Managers being able to evidence reasonable steps</w:t>
            </w:r>
          </w:p>
          <w:p w14:paraId="07735F8E" w14:textId="77777777" w:rsidR="003122A8" w:rsidRPr="007503BB" w:rsidRDefault="003122A8" w:rsidP="003122A8">
            <w:pPr>
              <w:pStyle w:val="ListParagraph"/>
              <w:numPr>
                <w:ilvl w:val="0"/>
                <w:numId w:val="7"/>
              </w:numPr>
              <w:rPr>
                <w:i/>
                <w:iCs/>
                <w:color w:val="A6A6A6" w:themeColor="background1" w:themeShade="A6"/>
                <w:sz w:val="16"/>
                <w:szCs w:val="16"/>
              </w:rPr>
            </w:pPr>
            <w:r w:rsidRPr="007503BB">
              <w:rPr>
                <w:i/>
                <w:iCs/>
                <w:color w:val="A6A6A6" w:themeColor="background1" w:themeShade="A6"/>
                <w:sz w:val="16"/>
                <w:szCs w:val="16"/>
              </w:rPr>
              <w:t>Resources savings – 1 FTE</w:t>
            </w:r>
          </w:p>
          <w:p w14:paraId="70259117" w14:textId="77777777" w:rsidR="003122A8" w:rsidRPr="00243C8A" w:rsidRDefault="003122A8" w:rsidP="003122A8">
            <w:pPr>
              <w:rPr>
                <w:b/>
                <w:bCs/>
                <w:u w:val="single"/>
              </w:rPr>
            </w:pPr>
          </w:p>
        </w:tc>
      </w:tr>
      <w:tr w:rsidR="003122A8" w14:paraId="75730930" w14:textId="77777777" w:rsidTr="006114BB">
        <w:tc>
          <w:tcPr>
            <w:tcW w:w="13948" w:type="dxa"/>
            <w:gridSpan w:val="5"/>
          </w:tcPr>
          <w:p w14:paraId="6D001D6E" w14:textId="0A9D6899" w:rsidR="003122A8" w:rsidRDefault="003122A8" w:rsidP="003122A8">
            <w:pPr>
              <w:jc w:val="right"/>
              <w:rPr>
                <w:rFonts w:cstheme="minorHAnsi"/>
                <w:b/>
                <w:bCs/>
                <w:i/>
                <w:iCs/>
                <w:color w:val="A6A6A6" w:themeColor="background1" w:themeShade="A6"/>
                <w:sz w:val="16"/>
                <w:szCs w:val="16"/>
              </w:rPr>
            </w:pPr>
            <w:r w:rsidRPr="003122A8">
              <w:rPr>
                <w:rFonts w:cstheme="minorHAnsi"/>
                <w:b/>
                <w:bCs/>
                <w:i/>
                <w:iCs/>
                <w:color w:val="A6A6A6" w:themeColor="background1" w:themeShade="A6"/>
                <w:sz w:val="16"/>
                <w:szCs w:val="16"/>
              </w:rPr>
              <w:t>*Examples provided for illustration only</w:t>
            </w:r>
          </w:p>
          <w:p w14:paraId="52FF6D41" w14:textId="1B6407FB" w:rsidR="003122A8" w:rsidRPr="003122A8" w:rsidRDefault="003122A8" w:rsidP="003122A8">
            <w:pPr>
              <w:rPr>
                <w:rFonts w:cstheme="minorHAnsi"/>
              </w:rPr>
            </w:pPr>
            <w:r>
              <w:rPr>
                <w:rFonts w:cstheme="minorHAnsi"/>
                <w:b/>
                <w:bCs/>
              </w:rPr>
              <w:t xml:space="preserve">Content library </w:t>
            </w:r>
            <w:r w:rsidR="002D4D29">
              <w:rPr>
                <w:rFonts w:cstheme="minorHAnsi"/>
                <w:b/>
                <w:bCs/>
              </w:rPr>
              <w:t>–</w:t>
            </w:r>
            <w:r>
              <w:rPr>
                <w:rFonts w:cstheme="minorHAnsi"/>
                <w:b/>
                <w:bCs/>
              </w:rPr>
              <w:t xml:space="preserve"> </w:t>
            </w:r>
            <w:hyperlink r:id="rId5" w:history="1">
              <w:r w:rsidR="002D4D29" w:rsidRPr="002D4D29">
                <w:rPr>
                  <w:rStyle w:val="Hyperlink"/>
                  <w:rFonts w:cstheme="minorHAnsi"/>
                </w:rPr>
                <w:t>Click here</w:t>
              </w:r>
            </w:hyperlink>
            <w:r w:rsidR="002D4D29" w:rsidRPr="002D4D29">
              <w:rPr>
                <w:rFonts w:cstheme="minorHAnsi"/>
              </w:rPr>
              <w:t xml:space="preserve"> to access a</w:t>
            </w:r>
            <w:r w:rsidRPr="002D4D29">
              <w:rPr>
                <w:rFonts w:cstheme="minorHAnsi"/>
              </w:rPr>
              <w:t>dditional</w:t>
            </w:r>
            <w:r w:rsidRPr="003122A8">
              <w:rPr>
                <w:rFonts w:cstheme="minorHAnsi"/>
              </w:rPr>
              <w:t xml:space="preserve"> publications and documents that you might find useful</w:t>
            </w:r>
            <w:r w:rsidR="002D4D29">
              <w:rPr>
                <w:rFonts w:cstheme="minorHAnsi"/>
              </w:rPr>
              <w:t>, such as</w:t>
            </w:r>
            <w:r w:rsidRPr="003122A8">
              <w:rPr>
                <w:rFonts w:cstheme="minorHAnsi"/>
              </w:rPr>
              <w:t>:</w:t>
            </w:r>
          </w:p>
          <w:p w14:paraId="27FD98EB" w14:textId="77777777" w:rsidR="003122A8" w:rsidRDefault="003122A8" w:rsidP="003122A8">
            <w:pPr>
              <w:numPr>
                <w:ilvl w:val="0"/>
                <w:numId w:val="13"/>
              </w:numPr>
              <w:rPr>
                <w:rFonts w:cstheme="minorHAnsi"/>
                <w:b/>
                <w:bCs/>
              </w:rPr>
            </w:pPr>
            <w:r>
              <w:rPr>
                <w:rFonts w:cstheme="minorHAnsi"/>
                <w:b/>
                <w:bCs/>
              </w:rPr>
              <w:t>Accord – Value Proposition</w:t>
            </w:r>
          </w:p>
          <w:p w14:paraId="77E4AA9A" w14:textId="6F461220" w:rsidR="003122A8" w:rsidRPr="00AC2B16" w:rsidRDefault="003122A8" w:rsidP="00E12B80">
            <w:pPr>
              <w:numPr>
                <w:ilvl w:val="0"/>
                <w:numId w:val="13"/>
              </w:numPr>
              <w:rPr>
                <w:rFonts w:cstheme="minorHAnsi"/>
                <w:b/>
                <w:bCs/>
              </w:rPr>
            </w:pPr>
            <w:r w:rsidRPr="00AC2B16">
              <w:rPr>
                <w:rFonts w:cstheme="minorHAnsi"/>
                <w:b/>
                <w:bCs/>
              </w:rPr>
              <w:t>Guidance document: Writing your business case</w:t>
            </w:r>
          </w:p>
          <w:p w14:paraId="697CD7E3" w14:textId="77777777" w:rsidR="003122A8" w:rsidRPr="00243C8A" w:rsidRDefault="003122A8" w:rsidP="003122A8">
            <w:pPr>
              <w:rPr>
                <w:b/>
                <w:bCs/>
                <w:u w:val="single"/>
              </w:rPr>
            </w:pPr>
          </w:p>
        </w:tc>
      </w:tr>
    </w:tbl>
    <w:p w14:paraId="0EA795CC" w14:textId="592367AA" w:rsidR="005D531F" w:rsidRDefault="00C3574D" w:rsidP="00C3574D">
      <w:pPr>
        <w:rPr>
          <w:rFonts w:cstheme="minorHAnsi"/>
          <w:b/>
          <w:bCs/>
        </w:rPr>
      </w:pPr>
      <w:r w:rsidRPr="00C3574D">
        <w:rPr>
          <w:rFonts w:cstheme="minorHAnsi"/>
          <w:b/>
          <w:bCs/>
        </w:rPr>
        <w:t xml:space="preserve">Business </w:t>
      </w:r>
      <w:r w:rsidRPr="00C3574D">
        <w:rPr>
          <w:rFonts w:cstheme="minorHAnsi"/>
          <w:b/>
          <w:bCs/>
          <w:color w:val="4D5156"/>
          <w:shd w:val="clear" w:color="auto" w:fill="FFFFFF"/>
        </w:rPr>
        <w:t>case reasoning and rationale template</w:t>
      </w:r>
      <w:r>
        <w:rPr>
          <w:rFonts w:cstheme="minorHAnsi"/>
          <w:b/>
          <w:bCs/>
          <w:color w:val="4D5156"/>
          <w:shd w:val="clear" w:color="auto" w:fill="FFFFFF"/>
        </w:rPr>
        <w:t xml:space="preserve">: </w:t>
      </w:r>
      <w:r w:rsidRPr="00C3574D">
        <w:rPr>
          <w:rFonts w:cstheme="minorHAnsi"/>
          <w:b/>
          <w:bCs/>
        </w:rPr>
        <w:t xml:space="preserve">Implementation of </w:t>
      </w:r>
      <w:r>
        <w:rPr>
          <w:rFonts w:cstheme="minorHAnsi"/>
          <w:b/>
          <w:bCs/>
        </w:rPr>
        <w:t>regulatory t</w:t>
      </w:r>
      <w:r w:rsidRPr="00C3574D">
        <w:rPr>
          <w:rFonts w:cstheme="minorHAnsi"/>
          <w:b/>
          <w:bCs/>
        </w:rPr>
        <w:t>ec</w:t>
      </w:r>
      <w:r>
        <w:rPr>
          <w:rFonts w:cstheme="minorHAnsi"/>
          <w:b/>
          <w:bCs/>
        </w:rPr>
        <w:t xml:space="preserve">hnology </w:t>
      </w:r>
      <w:r w:rsidRPr="00C3574D">
        <w:rPr>
          <w:rFonts w:cstheme="minorHAnsi"/>
          <w:b/>
          <w:bCs/>
        </w:rPr>
        <w:t xml:space="preserve">solution </w:t>
      </w:r>
      <w:r>
        <w:rPr>
          <w:rFonts w:cstheme="minorHAnsi"/>
          <w:b/>
          <w:bCs/>
        </w:rPr>
        <w:t>(</w:t>
      </w:r>
      <w:proofErr w:type="spellStart"/>
      <w:r>
        <w:rPr>
          <w:rFonts w:cstheme="minorHAnsi"/>
          <w:b/>
          <w:bCs/>
        </w:rPr>
        <w:t>RegTech</w:t>
      </w:r>
      <w:proofErr w:type="spellEnd"/>
      <w:r>
        <w:rPr>
          <w:rFonts w:cstheme="minorHAnsi"/>
          <w:b/>
          <w:bCs/>
        </w:rPr>
        <w:t xml:space="preserve">) </w:t>
      </w:r>
      <w:r w:rsidRPr="00C3574D">
        <w:rPr>
          <w:rFonts w:cstheme="minorHAnsi"/>
          <w:b/>
          <w:bCs/>
        </w:rPr>
        <w:t xml:space="preserve">to support the SM&amp;CR </w:t>
      </w:r>
      <w:r>
        <w:rPr>
          <w:rFonts w:cstheme="minorHAnsi"/>
          <w:b/>
          <w:bCs/>
        </w:rPr>
        <w:t>p</w:t>
      </w:r>
      <w:r w:rsidRPr="00C3574D">
        <w:rPr>
          <w:rFonts w:cstheme="minorHAnsi"/>
          <w:b/>
          <w:bCs/>
        </w:rPr>
        <w:t>rocess</w:t>
      </w:r>
      <w:r>
        <w:rPr>
          <w:rFonts w:cstheme="minorHAnsi"/>
          <w:b/>
          <w:bCs/>
        </w:rPr>
        <w:t>.</w:t>
      </w:r>
    </w:p>
    <w:sectPr w:rsidR="005D531F" w:rsidSect="003122A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6C4"/>
    <w:multiLevelType w:val="hybridMultilevel"/>
    <w:tmpl w:val="5B7037AE"/>
    <w:lvl w:ilvl="0" w:tplc="92E4E278">
      <w:start w:val="1"/>
      <w:numFmt w:val="bullet"/>
      <w:lvlText w:val="•"/>
      <w:lvlJc w:val="left"/>
      <w:pPr>
        <w:tabs>
          <w:tab w:val="num" w:pos="720"/>
        </w:tabs>
        <w:ind w:left="720" w:hanging="360"/>
      </w:pPr>
      <w:rPr>
        <w:rFonts w:ascii="Arial" w:hAnsi="Arial" w:hint="default"/>
      </w:rPr>
    </w:lvl>
    <w:lvl w:ilvl="1" w:tplc="977A8F68" w:tentative="1">
      <w:start w:val="1"/>
      <w:numFmt w:val="bullet"/>
      <w:lvlText w:val="•"/>
      <w:lvlJc w:val="left"/>
      <w:pPr>
        <w:tabs>
          <w:tab w:val="num" w:pos="1440"/>
        </w:tabs>
        <w:ind w:left="1440" w:hanging="360"/>
      </w:pPr>
      <w:rPr>
        <w:rFonts w:ascii="Arial" w:hAnsi="Arial" w:hint="default"/>
      </w:rPr>
    </w:lvl>
    <w:lvl w:ilvl="2" w:tplc="14B6111C" w:tentative="1">
      <w:start w:val="1"/>
      <w:numFmt w:val="bullet"/>
      <w:lvlText w:val="•"/>
      <w:lvlJc w:val="left"/>
      <w:pPr>
        <w:tabs>
          <w:tab w:val="num" w:pos="2160"/>
        </w:tabs>
        <w:ind w:left="2160" w:hanging="360"/>
      </w:pPr>
      <w:rPr>
        <w:rFonts w:ascii="Arial" w:hAnsi="Arial" w:hint="default"/>
      </w:rPr>
    </w:lvl>
    <w:lvl w:ilvl="3" w:tplc="C5E0BD46" w:tentative="1">
      <w:start w:val="1"/>
      <w:numFmt w:val="bullet"/>
      <w:lvlText w:val="•"/>
      <w:lvlJc w:val="left"/>
      <w:pPr>
        <w:tabs>
          <w:tab w:val="num" w:pos="2880"/>
        </w:tabs>
        <w:ind w:left="2880" w:hanging="360"/>
      </w:pPr>
      <w:rPr>
        <w:rFonts w:ascii="Arial" w:hAnsi="Arial" w:hint="default"/>
      </w:rPr>
    </w:lvl>
    <w:lvl w:ilvl="4" w:tplc="C0865D02" w:tentative="1">
      <w:start w:val="1"/>
      <w:numFmt w:val="bullet"/>
      <w:lvlText w:val="•"/>
      <w:lvlJc w:val="left"/>
      <w:pPr>
        <w:tabs>
          <w:tab w:val="num" w:pos="3600"/>
        </w:tabs>
        <w:ind w:left="3600" w:hanging="360"/>
      </w:pPr>
      <w:rPr>
        <w:rFonts w:ascii="Arial" w:hAnsi="Arial" w:hint="default"/>
      </w:rPr>
    </w:lvl>
    <w:lvl w:ilvl="5" w:tplc="8EE0BDAA" w:tentative="1">
      <w:start w:val="1"/>
      <w:numFmt w:val="bullet"/>
      <w:lvlText w:val="•"/>
      <w:lvlJc w:val="left"/>
      <w:pPr>
        <w:tabs>
          <w:tab w:val="num" w:pos="4320"/>
        </w:tabs>
        <w:ind w:left="4320" w:hanging="360"/>
      </w:pPr>
      <w:rPr>
        <w:rFonts w:ascii="Arial" w:hAnsi="Arial" w:hint="default"/>
      </w:rPr>
    </w:lvl>
    <w:lvl w:ilvl="6" w:tplc="98B49EE6" w:tentative="1">
      <w:start w:val="1"/>
      <w:numFmt w:val="bullet"/>
      <w:lvlText w:val="•"/>
      <w:lvlJc w:val="left"/>
      <w:pPr>
        <w:tabs>
          <w:tab w:val="num" w:pos="5040"/>
        </w:tabs>
        <w:ind w:left="5040" w:hanging="360"/>
      </w:pPr>
      <w:rPr>
        <w:rFonts w:ascii="Arial" w:hAnsi="Arial" w:hint="default"/>
      </w:rPr>
    </w:lvl>
    <w:lvl w:ilvl="7" w:tplc="6C789C32" w:tentative="1">
      <w:start w:val="1"/>
      <w:numFmt w:val="bullet"/>
      <w:lvlText w:val="•"/>
      <w:lvlJc w:val="left"/>
      <w:pPr>
        <w:tabs>
          <w:tab w:val="num" w:pos="5760"/>
        </w:tabs>
        <w:ind w:left="5760" w:hanging="360"/>
      </w:pPr>
      <w:rPr>
        <w:rFonts w:ascii="Arial" w:hAnsi="Arial" w:hint="default"/>
      </w:rPr>
    </w:lvl>
    <w:lvl w:ilvl="8" w:tplc="9FB46A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B42196"/>
    <w:multiLevelType w:val="hybridMultilevel"/>
    <w:tmpl w:val="684A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34129"/>
    <w:multiLevelType w:val="hybridMultilevel"/>
    <w:tmpl w:val="E7AA27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D3AA8"/>
    <w:multiLevelType w:val="hybridMultilevel"/>
    <w:tmpl w:val="EBAE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E56F8"/>
    <w:multiLevelType w:val="hybridMultilevel"/>
    <w:tmpl w:val="7B5AB99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34495"/>
    <w:multiLevelType w:val="hybridMultilevel"/>
    <w:tmpl w:val="8F2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B0305"/>
    <w:multiLevelType w:val="hybridMultilevel"/>
    <w:tmpl w:val="FDA68218"/>
    <w:lvl w:ilvl="0" w:tplc="5ACEE5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732D6"/>
    <w:multiLevelType w:val="hybridMultilevel"/>
    <w:tmpl w:val="EC669EB2"/>
    <w:lvl w:ilvl="0" w:tplc="5ACEE50E">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B57B31"/>
    <w:multiLevelType w:val="hybridMultilevel"/>
    <w:tmpl w:val="BEB240E0"/>
    <w:lvl w:ilvl="0" w:tplc="03DC7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95619"/>
    <w:multiLevelType w:val="hybridMultilevel"/>
    <w:tmpl w:val="96B6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84D63"/>
    <w:multiLevelType w:val="hybridMultilevel"/>
    <w:tmpl w:val="023AAF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A1B9A"/>
    <w:multiLevelType w:val="hybridMultilevel"/>
    <w:tmpl w:val="261C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749F8"/>
    <w:multiLevelType w:val="hybridMultilevel"/>
    <w:tmpl w:val="D73A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0"/>
  </w:num>
  <w:num w:numId="5">
    <w:abstractNumId w:val="2"/>
  </w:num>
  <w:num w:numId="6">
    <w:abstractNumId w:val="7"/>
  </w:num>
  <w:num w:numId="7">
    <w:abstractNumId w:val="1"/>
  </w:num>
  <w:num w:numId="8">
    <w:abstractNumId w:val="3"/>
  </w:num>
  <w:num w:numId="9">
    <w:abstractNumId w:val="12"/>
  </w:num>
  <w:num w:numId="10">
    <w:abstractNumId w:val="1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8A"/>
    <w:rsid w:val="00122135"/>
    <w:rsid w:val="001F2705"/>
    <w:rsid w:val="00243C8A"/>
    <w:rsid w:val="002D4D29"/>
    <w:rsid w:val="003122A8"/>
    <w:rsid w:val="003A4666"/>
    <w:rsid w:val="004E3F94"/>
    <w:rsid w:val="0066713A"/>
    <w:rsid w:val="007503BB"/>
    <w:rsid w:val="007653D0"/>
    <w:rsid w:val="0083706D"/>
    <w:rsid w:val="00A77D21"/>
    <w:rsid w:val="00AC2B16"/>
    <w:rsid w:val="00B26B51"/>
    <w:rsid w:val="00C3574D"/>
    <w:rsid w:val="00D1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B246"/>
  <w15:chartTrackingRefBased/>
  <w15:docId w15:val="{46CBF77F-D696-446A-96B5-AAB13873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21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E3F94"/>
    <w:pPr>
      <w:ind w:left="720"/>
      <w:contextualSpacing/>
    </w:pPr>
  </w:style>
  <w:style w:type="character" w:styleId="Hyperlink">
    <w:name w:val="Hyperlink"/>
    <w:basedOn w:val="DefaultParagraphFont"/>
    <w:uiPriority w:val="99"/>
    <w:unhideWhenUsed/>
    <w:rsid w:val="002D4D29"/>
    <w:rPr>
      <w:color w:val="0563C1" w:themeColor="hyperlink"/>
      <w:u w:val="single"/>
    </w:rPr>
  </w:style>
  <w:style w:type="character" w:styleId="UnresolvedMention">
    <w:name w:val="Unresolved Mention"/>
    <w:basedOn w:val="DefaultParagraphFont"/>
    <w:uiPriority w:val="99"/>
    <w:semiHidden/>
    <w:unhideWhenUsed/>
    <w:rsid w:val="002D4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4338">
      <w:bodyDiv w:val="1"/>
      <w:marLeft w:val="0"/>
      <w:marRight w:val="0"/>
      <w:marTop w:val="0"/>
      <w:marBottom w:val="0"/>
      <w:divBdr>
        <w:top w:val="none" w:sz="0" w:space="0" w:color="auto"/>
        <w:left w:val="none" w:sz="0" w:space="0" w:color="auto"/>
        <w:bottom w:val="none" w:sz="0" w:space="0" w:color="auto"/>
        <w:right w:val="none" w:sz="0" w:space="0" w:color="auto"/>
      </w:divBdr>
      <w:divsChild>
        <w:div w:id="856575100">
          <w:marLeft w:val="547"/>
          <w:marRight w:val="0"/>
          <w:marTop w:val="0"/>
          <w:marBottom w:val="0"/>
          <w:divBdr>
            <w:top w:val="none" w:sz="0" w:space="0" w:color="auto"/>
            <w:left w:val="none" w:sz="0" w:space="0" w:color="auto"/>
            <w:bottom w:val="none" w:sz="0" w:space="0" w:color="auto"/>
            <w:right w:val="none" w:sz="0" w:space="0" w:color="auto"/>
          </w:divBdr>
        </w:div>
        <w:div w:id="736559221">
          <w:marLeft w:val="547"/>
          <w:marRight w:val="0"/>
          <w:marTop w:val="0"/>
          <w:marBottom w:val="0"/>
          <w:divBdr>
            <w:top w:val="none" w:sz="0" w:space="0" w:color="auto"/>
            <w:left w:val="none" w:sz="0" w:space="0" w:color="auto"/>
            <w:bottom w:val="none" w:sz="0" w:space="0" w:color="auto"/>
            <w:right w:val="none" w:sz="0" w:space="0" w:color="auto"/>
          </w:divBdr>
        </w:div>
      </w:divsChild>
    </w:div>
    <w:div w:id="16522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worksmart.co.uk/accord-value-prop-and-business-c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Dent</dc:creator>
  <cp:keywords/>
  <dc:description/>
  <cp:lastModifiedBy>Nic Dent</cp:lastModifiedBy>
  <cp:revision>2</cp:revision>
  <dcterms:created xsi:type="dcterms:W3CDTF">2021-10-12T11:50:00Z</dcterms:created>
  <dcterms:modified xsi:type="dcterms:W3CDTF">2021-10-12T11:50:00Z</dcterms:modified>
</cp:coreProperties>
</file>